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3681" w14:textId="77777777" w:rsidR="005B2EDA" w:rsidRDefault="005B2EDA" w:rsidP="002E45A1">
      <w:pPr>
        <w:rPr>
          <w:rtl/>
        </w:rPr>
      </w:pPr>
    </w:p>
    <w:p w14:paraId="0E39C86F" w14:textId="77777777" w:rsidR="002E45A1" w:rsidRDefault="002E45A1" w:rsidP="002E45A1">
      <w:pPr>
        <w:rPr>
          <w:rtl/>
        </w:rPr>
      </w:pPr>
    </w:p>
    <w:p w14:paraId="0F72EA50" w14:textId="77777777" w:rsidR="00867C7B" w:rsidRDefault="00867C7B" w:rsidP="002E45A1">
      <w:pPr>
        <w:jc w:val="center"/>
        <w:rPr>
          <w:rFonts w:cs="Arial"/>
          <w:b/>
          <w:bCs/>
          <w:sz w:val="40"/>
          <w:szCs w:val="40"/>
          <w:u w:val="single"/>
          <w:rtl/>
        </w:rPr>
      </w:pPr>
      <w:r>
        <w:rPr>
          <w:rFonts w:cs="Arial" w:hint="cs"/>
          <w:b/>
          <w:bCs/>
          <w:sz w:val="40"/>
          <w:szCs w:val="40"/>
          <w:u w:val="single"/>
          <w:rtl/>
        </w:rPr>
        <w:t xml:space="preserve">נייר עמדה: </w:t>
      </w:r>
    </w:p>
    <w:p w14:paraId="5DF5966F" w14:textId="186C57D9" w:rsidR="002E45A1" w:rsidRPr="00867C7B" w:rsidRDefault="002E45A1" w:rsidP="002E45A1">
      <w:pPr>
        <w:jc w:val="center"/>
        <w:rPr>
          <w:b/>
          <w:bCs/>
          <w:sz w:val="40"/>
          <w:szCs w:val="40"/>
          <w:u w:val="single"/>
          <w:rtl/>
        </w:rPr>
      </w:pPr>
      <w:r w:rsidRPr="00867C7B">
        <w:rPr>
          <w:rFonts w:hint="cs"/>
          <w:b/>
          <w:bCs/>
          <w:sz w:val="40"/>
          <w:szCs w:val="40"/>
          <w:u w:val="single"/>
          <w:rtl/>
        </w:rPr>
        <w:t>סיקור תקשורתי לא פוגעני של עבירות מין</w:t>
      </w:r>
    </w:p>
    <w:p w14:paraId="1B98F0F5" w14:textId="55609C34" w:rsidR="00867C7B" w:rsidRDefault="00867C7B" w:rsidP="002E45A1">
      <w:pPr>
        <w:jc w:val="center"/>
        <w:rPr>
          <w:b/>
          <w:bCs/>
          <w:sz w:val="28"/>
          <w:szCs w:val="28"/>
          <w:u w:val="single"/>
          <w:rtl/>
        </w:rPr>
      </w:pPr>
    </w:p>
    <w:p w14:paraId="41D329EF" w14:textId="1BDABC90" w:rsidR="00867C7B" w:rsidRPr="00867C7B" w:rsidRDefault="00867C7B" w:rsidP="00867C7B">
      <w:pPr>
        <w:jc w:val="center"/>
        <w:rPr>
          <w:b/>
          <w:bCs/>
          <w:sz w:val="28"/>
          <w:szCs w:val="28"/>
          <w:rtl/>
        </w:rPr>
      </w:pPr>
      <w:r w:rsidRPr="00867C7B">
        <w:rPr>
          <w:rFonts w:hint="cs"/>
          <w:b/>
          <w:bCs/>
          <w:sz w:val="28"/>
          <w:szCs w:val="28"/>
          <w:rtl/>
        </w:rPr>
        <w:t>איגוד מרכזי הסיוע לנפגעות ולנפגעי תקיפה מינית</w:t>
      </w:r>
    </w:p>
    <w:p w14:paraId="3198FF8F" w14:textId="77777777" w:rsidR="002E45A1" w:rsidRDefault="002E45A1" w:rsidP="00615E7A">
      <w:pPr>
        <w:jc w:val="both"/>
        <w:rPr>
          <w:rtl/>
        </w:rPr>
      </w:pPr>
    </w:p>
    <w:p w14:paraId="5590E59E" w14:textId="108D5F53" w:rsidR="002E45A1" w:rsidRDefault="002E45A1" w:rsidP="00615E7A">
      <w:pPr>
        <w:jc w:val="both"/>
        <w:rPr>
          <w:rtl/>
        </w:rPr>
      </w:pPr>
      <w:r>
        <w:rPr>
          <w:rFonts w:hint="cs"/>
          <w:rtl/>
        </w:rPr>
        <w:t>בשנים האחרונות גבר העיסוק התקשורתי באלימות מינית. אנו, באיגוד מרכזי הסיוע לנפגעות ולנפגעי תקיפה מינית, מברכות על כך ועל נכונותם של כלי התקשורת לתת במה גדולה יותר לנפגעות ולנפגעים.</w:t>
      </w:r>
    </w:p>
    <w:p w14:paraId="32C5C1FB" w14:textId="77777777" w:rsidR="002E45A1" w:rsidRDefault="002E45A1" w:rsidP="00615E7A">
      <w:pPr>
        <w:jc w:val="both"/>
        <w:rPr>
          <w:rtl/>
        </w:rPr>
      </w:pPr>
      <w:r>
        <w:rPr>
          <w:rFonts w:hint="cs"/>
          <w:rtl/>
        </w:rPr>
        <w:t xml:space="preserve">במהלך שנות פעילותו, ליווה האיגוד נפגעות ונפגעי תקיפה מינית רבים שהתראיינו בכלי התקשורת השונים. בחלק מהמקרים ביקשו הנפגעות והנפגעים להוציא את סיפורן החוצה, אל אור השמש המחטא, מתוך בחירה והחלטה מודעת; במקרים אחרים, כלי התקשורת הם שפנו אל הנפגעות והנפגעים בחיפוש אחר ה"סיפור" העיתונאי, המעשים שבוצעו בהן/ם ו/או שמות התוקפים, ונדרשנו להתערבות בעקבות המשבר שחשו. </w:t>
      </w:r>
    </w:p>
    <w:p w14:paraId="67AF7D04" w14:textId="77777777" w:rsidR="002E45A1" w:rsidRDefault="002E45A1" w:rsidP="00615E7A">
      <w:pPr>
        <w:jc w:val="both"/>
        <w:rPr>
          <w:rtl/>
        </w:rPr>
      </w:pPr>
      <w:r>
        <w:rPr>
          <w:rFonts w:hint="cs"/>
          <w:rtl/>
        </w:rPr>
        <w:t xml:space="preserve">בעידן הרשתות החברתיות, החיבור בין כלי התקשורת לנפגעות קל ומהיר מתמיד. לצד פתחון הפה וההזדמנות שניתנת להן לספר את סיפורן ולדרוש צדק, אנו נתקלות ביותר ויותר מקרים שבהם הנגישות המהירה הובילה לפריצת גבולות לא רצויה ואף פוגענית. בשנים האחרונות מגיעות לפתחנו תלונות רבות של פונות שנפגעו במפגש עם כלי התקשורת </w:t>
      </w:r>
      <w:r>
        <w:rPr>
          <w:rtl/>
        </w:rPr>
        <w:t>–</w:t>
      </w:r>
      <w:r>
        <w:rPr>
          <w:rFonts w:hint="cs"/>
          <w:rtl/>
        </w:rPr>
        <w:t xml:space="preserve"> בין אם בעקבות ההתרחשויות מאחורי הקלעים, ובין אם מהתוצרים הסופיים. </w:t>
      </w:r>
    </w:p>
    <w:p w14:paraId="525C038E" w14:textId="1C667316" w:rsidR="002E45A1" w:rsidRDefault="002E45A1" w:rsidP="00615E7A">
      <w:pPr>
        <w:jc w:val="both"/>
        <w:rPr>
          <w:rtl/>
        </w:rPr>
      </w:pPr>
      <w:r>
        <w:rPr>
          <w:rFonts w:hint="cs"/>
          <w:rtl/>
        </w:rPr>
        <w:t xml:space="preserve">ואמנם, מרואיינים ומרואיינות מתחומים רבים סבורים כי לא נעשה עימם צדק. עם זאת, חשוב להבחין בין חוסר שביעות רצון כללית, ולעיתים בלתי נמנעת, לבין סוגיות של פריצת גבולות של נפגעות ונפגעי תקיפה מינית. להלן, תיאור תמציתי של הבעיות העולות מן השטח, והצעה לפתרונות. </w:t>
      </w:r>
    </w:p>
    <w:p w14:paraId="2F013727" w14:textId="77777777" w:rsidR="002E45A1" w:rsidRDefault="002E45A1" w:rsidP="00615E7A">
      <w:pPr>
        <w:jc w:val="both"/>
        <w:rPr>
          <w:rtl/>
        </w:rPr>
      </w:pPr>
    </w:p>
    <w:p w14:paraId="5CADA177" w14:textId="77777777" w:rsidR="002E45A1" w:rsidRPr="00AA1AA0" w:rsidRDefault="002E45A1" w:rsidP="00615E7A">
      <w:pPr>
        <w:jc w:val="both"/>
        <w:rPr>
          <w:b/>
          <w:bCs/>
          <w:rtl/>
        </w:rPr>
      </w:pPr>
      <w:r w:rsidRPr="00AA1AA0">
        <w:rPr>
          <w:rFonts w:hint="cs"/>
          <w:b/>
          <w:bCs/>
          <w:rtl/>
        </w:rPr>
        <w:t>"מוטיבציית יתר" לסיקור תקשורתי של הפגיעה והנפגעת, תוך שימוש באמצעים פסולים:</w:t>
      </w:r>
    </w:p>
    <w:p w14:paraId="0C184B51" w14:textId="77777777" w:rsidR="002E45A1" w:rsidRPr="00686646" w:rsidRDefault="002E45A1" w:rsidP="00615E7A">
      <w:pPr>
        <w:pStyle w:val="ListParagraph"/>
        <w:numPr>
          <w:ilvl w:val="0"/>
          <w:numId w:val="1"/>
        </w:numPr>
        <w:bidi/>
        <w:jc w:val="both"/>
        <w:rPr>
          <w:b/>
          <w:bCs/>
        </w:rPr>
      </w:pPr>
      <w:r>
        <w:rPr>
          <w:rFonts w:hint="cs"/>
          <w:rtl/>
        </w:rPr>
        <w:t>פנייה בשעות בלתי שגרתיות, ובאופן חסר גבולות ומטריד</w:t>
      </w:r>
      <w:r>
        <w:rPr>
          <w:rFonts w:hint="cs"/>
          <w:b/>
          <w:bCs/>
          <w:rtl/>
        </w:rPr>
        <w:t xml:space="preserve"> </w:t>
      </w:r>
    </w:p>
    <w:p w14:paraId="1B0E2A49" w14:textId="77777777" w:rsidR="002E45A1" w:rsidRPr="00686646" w:rsidRDefault="002E45A1" w:rsidP="00615E7A">
      <w:pPr>
        <w:pStyle w:val="ListParagraph"/>
        <w:numPr>
          <w:ilvl w:val="0"/>
          <w:numId w:val="1"/>
        </w:numPr>
        <w:bidi/>
        <w:jc w:val="both"/>
        <w:rPr>
          <w:b/>
          <w:bCs/>
        </w:rPr>
      </w:pPr>
      <w:r>
        <w:rPr>
          <w:rFonts w:hint="cs"/>
          <w:rtl/>
        </w:rPr>
        <w:t xml:space="preserve">הסתרה חלקית או מלאה של נסיבות הסיקור וההקשר בו ישולב הראיון </w:t>
      </w:r>
    </w:p>
    <w:p w14:paraId="0978ED6B" w14:textId="77777777" w:rsidR="002E45A1" w:rsidRDefault="002E45A1" w:rsidP="00615E7A">
      <w:pPr>
        <w:pStyle w:val="ListParagraph"/>
        <w:numPr>
          <w:ilvl w:val="0"/>
          <w:numId w:val="1"/>
        </w:numPr>
        <w:bidi/>
        <w:jc w:val="both"/>
        <w:rPr>
          <w:b/>
          <w:bCs/>
        </w:rPr>
      </w:pPr>
      <w:r>
        <w:rPr>
          <w:rFonts w:hint="cs"/>
          <w:rtl/>
        </w:rPr>
        <w:t>פיזור הבטחות ללא כיסוי ביחס להשפעות הפרסום על מצבן</w:t>
      </w:r>
      <w:r>
        <w:rPr>
          <w:rFonts w:hint="cs"/>
          <w:b/>
          <w:bCs/>
          <w:rtl/>
        </w:rPr>
        <w:t xml:space="preserve"> (</w:t>
      </w:r>
      <w:r>
        <w:rPr>
          <w:rFonts w:hint="cs"/>
          <w:rtl/>
        </w:rPr>
        <w:t>זה יעזור לך)</w:t>
      </w:r>
    </w:p>
    <w:p w14:paraId="7F38CC80" w14:textId="77777777" w:rsidR="002E45A1" w:rsidRDefault="002E45A1" w:rsidP="00615E7A">
      <w:pPr>
        <w:pStyle w:val="ListParagraph"/>
        <w:numPr>
          <w:ilvl w:val="0"/>
          <w:numId w:val="1"/>
        </w:numPr>
        <w:bidi/>
        <w:jc w:val="both"/>
        <w:rPr>
          <w:b/>
          <w:bCs/>
        </w:rPr>
      </w:pPr>
      <w:r>
        <w:rPr>
          <w:rFonts w:hint="cs"/>
          <w:rtl/>
        </w:rPr>
        <w:t xml:space="preserve">"נדנוד" והתשה של נפגעות, תוך הפעלת מניפולציות רגשיות </w:t>
      </w:r>
    </w:p>
    <w:p w14:paraId="410A5844" w14:textId="77777777" w:rsidR="002E45A1" w:rsidRPr="004B2510" w:rsidRDefault="002E45A1" w:rsidP="00615E7A">
      <w:pPr>
        <w:pStyle w:val="ListParagraph"/>
        <w:numPr>
          <w:ilvl w:val="0"/>
          <w:numId w:val="1"/>
        </w:numPr>
        <w:bidi/>
        <w:jc w:val="both"/>
        <w:rPr>
          <w:b/>
          <w:bCs/>
        </w:rPr>
      </w:pPr>
      <w:r>
        <w:rPr>
          <w:rFonts w:hint="cs"/>
          <w:rtl/>
        </w:rPr>
        <w:t>פנייה למקורבי הנפגעת, שלעיתים אינם מודעים לפגיעה</w:t>
      </w:r>
    </w:p>
    <w:p w14:paraId="44E8F5A8" w14:textId="77777777" w:rsidR="002E45A1" w:rsidRPr="00AA1AA0" w:rsidRDefault="002E45A1" w:rsidP="00615E7A">
      <w:pPr>
        <w:jc w:val="both"/>
        <w:rPr>
          <w:b/>
          <w:bCs/>
        </w:rPr>
      </w:pPr>
      <w:r w:rsidRPr="00AA1AA0">
        <w:rPr>
          <w:rFonts w:hint="cs"/>
          <w:b/>
          <w:bCs/>
          <w:rtl/>
        </w:rPr>
        <w:t xml:space="preserve">תוכן האייטמים המשודרים / כתובים: </w:t>
      </w:r>
    </w:p>
    <w:p w14:paraId="3824F66A" w14:textId="77777777" w:rsidR="002E45A1" w:rsidRPr="00D35C5A" w:rsidRDefault="002E45A1" w:rsidP="00615E7A">
      <w:pPr>
        <w:pStyle w:val="ListParagraph"/>
        <w:numPr>
          <w:ilvl w:val="0"/>
          <w:numId w:val="1"/>
        </w:numPr>
        <w:bidi/>
        <w:jc w:val="both"/>
        <w:rPr>
          <w:b/>
          <w:bCs/>
        </w:rPr>
      </w:pPr>
      <w:r>
        <w:rPr>
          <w:rFonts w:hint="cs"/>
          <w:rtl/>
        </w:rPr>
        <w:t>הפעלת לחץ לחלוק בפרטים רבים מאלו שהתכוונה הנפגעת לשתף</w:t>
      </w:r>
    </w:p>
    <w:p w14:paraId="7D0E05D0" w14:textId="77777777" w:rsidR="002E45A1" w:rsidRPr="00D2151B" w:rsidRDefault="002E45A1" w:rsidP="00615E7A">
      <w:pPr>
        <w:pStyle w:val="ListParagraph"/>
        <w:numPr>
          <w:ilvl w:val="0"/>
          <w:numId w:val="1"/>
        </w:numPr>
        <w:bidi/>
        <w:jc w:val="both"/>
        <w:rPr>
          <w:b/>
          <w:bCs/>
        </w:rPr>
      </w:pPr>
      <w:r>
        <w:rPr>
          <w:rFonts w:hint="cs"/>
          <w:rtl/>
        </w:rPr>
        <w:t>סירוב לוותר על שידור / פרסום חומרים, לאחר שהנפגעת חזרה בה</w:t>
      </w:r>
    </w:p>
    <w:p w14:paraId="1E01FD71" w14:textId="77777777" w:rsidR="002E45A1" w:rsidRPr="00101476" w:rsidRDefault="002E45A1" w:rsidP="00615E7A">
      <w:pPr>
        <w:pStyle w:val="ListParagraph"/>
        <w:numPr>
          <w:ilvl w:val="0"/>
          <w:numId w:val="1"/>
        </w:numPr>
        <w:bidi/>
        <w:jc w:val="both"/>
        <w:rPr>
          <w:b/>
          <w:bCs/>
        </w:rPr>
      </w:pPr>
      <w:r>
        <w:rPr>
          <w:rFonts w:hint="cs"/>
          <w:rtl/>
        </w:rPr>
        <w:t>שאלות שיפוטיות, המערערות את הנפגעת</w:t>
      </w:r>
    </w:p>
    <w:p w14:paraId="4D649BB6" w14:textId="77777777" w:rsidR="002E45A1" w:rsidRDefault="002E45A1" w:rsidP="00615E7A">
      <w:pPr>
        <w:pStyle w:val="ListParagraph"/>
        <w:numPr>
          <w:ilvl w:val="0"/>
          <w:numId w:val="1"/>
        </w:numPr>
        <w:bidi/>
        <w:jc w:val="both"/>
        <w:rPr>
          <w:b/>
          <w:bCs/>
        </w:rPr>
      </w:pPr>
      <w:r>
        <w:rPr>
          <w:rFonts w:hint="cs"/>
          <w:rtl/>
        </w:rPr>
        <w:t>הטלת האחריות על הפגיעה על הנפגעת, באופן גלוי או סמוי (האשמת הקורבן)</w:t>
      </w:r>
    </w:p>
    <w:p w14:paraId="27B66FC8" w14:textId="77777777" w:rsidR="002E45A1" w:rsidRPr="00610908" w:rsidRDefault="002E45A1" w:rsidP="00615E7A">
      <w:pPr>
        <w:pStyle w:val="ListParagraph"/>
        <w:numPr>
          <w:ilvl w:val="0"/>
          <w:numId w:val="1"/>
        </w:numPr>
        <w:bidi/>
        <w:jc w:val="both"/>
        <w:rPr>
          <w:b/>
          <w:bCs/>
        </w:rPr>
      </w:pPr>
      <w:r>
        <w:rPr>
          <w:rFonts w:hint="cs"/>
          <w:rtl/>
        </w:rPr>
        <w:t>הצגת האלימות המינית כנורמלית וטבעית, "כח הטבע"</w:t>
      </w:r>
    </w:p>
    <w:p w14:paraId="1CEB1D41" w14:textId="77777777" w:rsidR="002E45A1" w:rsidRPr="00B0547B" w:rsidRDefault="002E45A1" w:rsidP="00615E7A">
      <w:pPr>
        <w:pStyle w:val="ListParagraph"/>
        <w:numPr>
          <w:ilvl w:val="0"/>
          <w:numId w:val="1"/>
        </w:numPr>
        <w:bidi/>
        <w:jc w:val="both"/>
        <w:rPr>
          <w:b/>
          <w:bCs/>
        </w:rPr>
      </w:pPr>
      <w:r>
        <w:rPr>
          <w:rFonts w:hint="cs"/>
          <w:rtl/>
        </w:rPr>
        <w:t>הצגת האלימות המינית כהשתובבות ארוטית</w:t>
      </w:r>
    </w:p>
    <w:p w14:paraId="02CE190A" w14:textId="77777777" w:rsidR="002E45A1" w:rsidRDefault="002E45A1" w:rsidP="00615E7A">
      <w:pPr>
        <w:pStyle w:val="ListParagraph"/>
        <w:numPr>
          <w:ilvl w:val="0"/>
          <w:numId w:val="1"/>
        </w:numPr>
        <w:bidi/>
        <w:jc w:val="both"/>
        <w:rPr>
          <w:b/>
          <w:bCs/>
        </w:rPr>
      </w:pPr>
      <w:r>
        <w:rPr>
          <w:rFonts w:hint="cs"/>
          <w:rtl/>
        </w:rPr>
        <w:t>הצגה סטריאוטיפית של הפוגע והנפגעת</w:t>
      </w:r>
    </w:p>
    <w:p w14:paraId="37A3409E" w14:textId="77777777" w:rsidR="002E45A1" w:rsidRPr="00214F0A" w:rsidRDefault="002E45A1" w:rsidP="00615E7A">
      <w:pPr>
        <w:pStyle w:val="ListParagraph"/>
        <w:numPr>
          <w:ilvl w:val="0"/>
          <w:numId w:val="1"/>
        </w:numPr>
        <w:bidi/>
        <w:jc w:val="both"/>
        <w:rPr>
          <w:b/>
          <w:bCs/>
        </w:rPr>
      </w:pPr>
      <w:r>
        <w:rPr>
          <w:rFonts w:hint="cs"/>
          <w:rtl/>
        </w:rPr>
        <w:t>"בעד ונגד" לפגיעה מינית</w:t>
      </w:r>
      <w:r>
        <w:rPr>
          <w:rFonts w:hint="cs"/>
          <w:b/>
          <w:bCs/>
          <w:rtl/>
        </w:rPr>
        <w:t xml:space="preserve"> </w:t>
      </w:r>
      <w:r>
        <w:rPr>
          <w:rFonts w:hint="cs"/>
          <w:rtl/>
        </w:rPr>
        <w:t>ו/או לפוגעים מינית</w:t>
      </w:r>
    </w:p>
    <w:p w14:paraId="0CF2B8C8" w14:textId="77777777" w:rsidR="002E45A1" w:rsidRDefault="002E45A1" w:rsidP="00615E7A">
      <w:pPr>
        <w:pStyle w:val="ListParagraph"/>
        <w:numPr>
          <w:ilvl w:val="0"/>
          <w:numId w:val="1"/>
        </w:numPr>
        <w:bidi/>
        <w:jc w:val="both"/>
        <w:rPr>
          <w:b/>
          <w:bCs/>
        </w:rPr>
      </w:pPr>
      <w:r>
        <w:rPr>
          <w:rFonts w:hint="cs"/>
          <w:rtl/>
        </w:rPr>
        <w:t>ייחוס מניעים זרים</w:t>
      </w:r>
      <w:r>
        <w:rPr>
          <w:rFonts w:hint="cs"/>
          <w:b/>
          <w:bCs/>
          <w:rtl/>
        </w:rPr>
        <w:t xml:space="preserve"> </w:t>
      </w:r>
      <w:r>
        <w:rPr>
          <w:rFonts w:hint="cs"/>
          <w:rtl/>
        </w:rPr>
        <w:t>לתלונה</w:t>
      </w:r>
    </w:p>
    <w:p w14:paraId="56A790CB" w14:textId="77777777" w:rsidR="002E45A1" w:rsidRDefault="002E45A1" w:rsidP="00615E7A">
      <w:pPr>
        <w:jc w:val="both"/>
        <w:rPr>
          <w:b/>
          <w:bCs/>
          <w:rtl/>
        </w:rPr>
      </w:pPr>
    </w:p>
    <w:p w14:paraId="756AA82A" w14:textId="77777777" w:rsidR="002E45A1" w:rsidRDefault="002E45A1" w:rsidP="00615E7A">
      <w:pPr>
        <w:jc w:val="both"/>
        <w:rPr>
          <w:rtl/>
        </w:rPr>
      </w:pPr>
      <w:r>
        <w:rPr>
          <w:rFonts w:hint="cs"/>
          <w:b/>
          <w:bCs/>
          <w:rtl/>
        </w:rPr>
        <w:t>בפועל,</w:t>
      </w:r>
      <w:r>
        <w:rPr>
          <w:rFonts w:hint="cs"/>
          <w:rtl/>
        </w:rPr>
        <w:t xml:space="preserve"> אף כי ברובם המוחלט של המקרים אין לעיתונאי/ת שום כוונת זדון, ולעיתים קרובות הם דווקא אוהדים את הנפגעת, ומבקשים לתרום לעשיית צדק </w:t>
      </w:r>
      <w:r>
        <w:rPr>
          <w:rtl/>
        </w:rPr>
        <w:t>–</w:t>
      </w:r>
      <w:r>
        <w:rPr>
          <w:rFonts w:hint="cs"/>
          <w:rtl/>
        </w:rPr>
        <w:t xml:space="preserve"> לפעולות שלהם עלולות להיות השלכות קשות, נפשיות ופיזיות על הנפגע/ת. </w:t>
      </w:r>
    </w:p>
    <w:p w14:paraId="17C24D18" w14:textId="77777777" w:rsidR="002E45A1" w:rsidRDefault="002E45A1" w:rsidP="00615E7A">
      <w:pPr>
        <w:jc w:val="both"/>
        <w:rPr>
          <w:rtl/>
        </w:rPr>
      </w:pPr>
      <w:r>
        <w:rPr>
          <w:rFonts w:hint="cs"/>
          <w:rtl/>
        </w:rPr>
        <w:t xml:space="preserve">הפגיעה המינית מערערת באופן קיצוני את תחושת השליטה של הנפגעות בגופן ובחייהן, ועבודת ההחלמה מבוססת על השבת השליטה. מכבש הלחצים שמופעל עליהן, גם אם הכוונה </w:t>
      </w:r>
      <w:r>
        <w:rPr>
          <w:rFonts w:hint="cs"/>
          <w:rtl/>
        </w:rPr>
        <w:lastRenderedPageBreak/>
        <w:t xml:space="preserve">מאחוריו תמימה, אינו מתחשב בגבולות שמבקשות הנפגעות להציב ובכך מפקיע מהן בשנית את השליטה. כשנפגעת אומרת "לא", והעיתונאית שממול מוסיפה לנסות ו"לשכנע" אותה, כשתחקירן פונה לסביבתה של נפגעת ומפר את פרטיותה </w:t>
      </w:r>
      <w:r>
        <w:rPr>
          <w:rtl/>
        </w:rPr>
        <w:t>–</w:t>
      </w:r>
      <w:r>
        <w:rPr>
          <w:rFonts w:hint="cs"/>
          <w:rtl/>
        </w:rPr>
        <w:t xml:space="preserve"> הם תורמים לערעור מחודש של הגבולות והציבה. כשנפגעת מגלה באיחור שתומרנה להשתתף בראיון שכלליו והקשרו הוסתרו ממנה, נלקחת ממנה יכולת הבחירה החופשית. כאשר נפגעת מתחרטת על חשיפה מסוימת, אך העיתונאי מסרב לוותר על השידור </w:t>
      </w:r>
      <w:r>
        <w:rPr>
          <w:rtl/>
        </w:rPr>
        <w:t>–</w:t>
      </w:r>
      <w:r>
        <w:rPr>
          <w:rFonts w:hint="cs"/>
          <w:rtl/>
        </w:rPr>
        <w:t xml:space="preserve"> שוב נלקחת ממנה השליטה. כל אובדן שליטה וערעור גבולות שכזה עלול להביא לשחזור הטראומה של הפגיעה עצמה. </w:t>
      </w:r>
    </w:p>
    <w:p w14:paraId="141452AF" w14:textId="77777777" w:rsidR="002E45A1" w:rsidRDefault="002E45A1" w:rsidP="00615E7A">
      <w:pPr>
        <w:jc w:val="both"/>
        <w:rPr>
          <w:b/>
          <w:bCs/>
          <w:rtl/>
        </w:rPr>
      </w:pPr>
    </w:p>
    <w:p w14:paraId="6AB4C98E" w14:textId="77777777" w:rsidR="002E45A1" w:rsidRDefault="002E45A1" w:rsidP="00615E7A">
      <w:pPr>
        <w:jc w:val="both"/>
        <w:rPr>
          <w:rtl/>
        </w:rPr>
      </w:pPr>
      <w:r>
        <w:rPr>
          <w:rFonts w:hint="cs"/>
          <w:b/>
          <w:bCs/>
          <w:rtl/>
        </w:rPr>
        <w:t xml:space="preserve">השאיפה: </w:t>
      </w:r>
      <w:r w:rsidRPr="005160D8">
        <w:rPr>
          <w:rFonts w:hint="cs"/>
          <w:rtl/>
        </w:rPr>
        <w:t>סיקור תקשורתי מותאם</w:t>
      </w:r>
      <w:r>
        <w:rPr>
          <w:rFonts w:hint="cs"/>
          <w:rtl/>
        </w:rPr>
        <w:t>, ה</w:t>
      </w:r>
      <w:r w:rsidRPr="00516CFE">
        <w:rPr>
          <w:rFonts w:hint="cs"/>
          <w:rtl/>
        </w:rPr>
        <w:t xml:space="preserve">מכבד </w:t>
      </w:r>
      <w:r>
        <w:rPr>
          <w:rFonts w:hint="cs"/>
          <w:rtl/>
        </w:rPr>
        <w:t xml:space="preserve">את רצונה ומשאביה הנפשיים של הנפגעת, ונמנע משימוש אינסטרומנטלי בטראומה שחוותה. סיקור המתאר את האלימות המינית כאלימות </w:t>
      </w:r>
      <w:r>
        <w:rPr>
          <w:rtl/>
        </w:rPr>
        <w:t>–</w:t>
      </w:r>
      <w:r>
        <w:rPr>
          <w:rFonts w:hint="cs"/>
          <w:rtl/>
        </w:rPr>
        <w:t xml:space="preserve"> ולא כצורה סנסציונית של יחסי מין. סיקור כזה לוקח בחשבון שרמת החשיפה שהנפגעת מוכנה לה עשויה להשתנות, ולא מתעקש על חשיפת פרטים בניגוד לרצונה הנוכחי. מערכת עיתונאית כזאת מבינה את האפקט של חשיפת סיפורי פגיעה מינית, שעלולים להציף טריגרים גם בקרב חלקים מהקהל. </w:t>
      </w:r>
    </w:p>
    <w:p w14:paraId="34A53F74" w14:textId="77777777" w:rsidR="002E45A1" w:rsidRDefault="002E45A1" w:rsidP="00615E7A">
      <w:pPr>
        <w:jc w:val="both"/>
        <w:rPr>
          <w:b/>
          <w:bCs/>
          <w:rtl/>
        </w:rPr>
      </w:pPr>
    </w:p>
    <w:p w14:paraId="42800A13" w14:textId="77777777" w:rsidR="002E45A1" w:rsidRPr="005160D8" w:rsidRDefault="002E45A1" w:rsidP="00615E7A">
      <w:pPr>
        <w:jc w:val="both"/>
        <w:rPr>
          <w:b/>
          <w:bCs/>
          <w:rtl/>
        </w:rPr>
      </w:pPr>
      <w:r>
        <w:rPr>
          <w:rFonts w:hint="cs"/>
          <w:b/>
          <w:bCs/>
          <w:rtl/>
        </w:rPr>
        <w:t>האמצעים:</w:t>
      </w:r>
    </w:p>
    <w:p w14:paraId="450F58F0" w14:textId="77777777" w:rsidR="002E45A1" w:rsidRDefault="002E45A1" w:rsidP="00615E7A">
      <w:pPr>
        <w:pStyle w:val="ListParagraph"/>
        <w:numPr>
          <w:ilvl w:val="0"/>
          <w:numId w:val="2"/>
        </w:numPr>
        <w:bidi/>
        <w:jc w:val="both"/>
      </w:pPr>
      <w:r>
        <w:rPr>
          <w:rFonts w:hint="cs"/>
          <w:rtl/>
        </w:rPr>
        <w:t>למידה ואימוץ של הקוד האתי לסיקור תקשורתי לא פוגעני בכל אמצעי התקשורת</w:t>
      </w:r>
    </w:p>
    <w:p w14:paraId="78D3C773" w14:textId="77777777" w:rsidR="002E45A1" w:rsidRDefault="002E45A1" w:rsidP="00615E7A">
      <w:pPr>
        <w:pStyle w:val="ListParagraph"/>
        <w:numPr>
          <w:ilvl w:val="0"/>
          <w:numId w:val="2"/>
        </w:numPr>
        <w:bidi/>
        <w:jc w:val="both"/>
      </w:pPr>
      <w:r>
        <w:rPr>
          <w:rFonts w:hint="cs"/>
          <w:rtl/>
        </w:rPr>
        <w:t>הכשרות חובה לעיתונאים ולעיתונאיות המסקרים מקרים של אלימות מינית</w:t>
      </w:r>
    </w:p>
    <w:p w14:paraId="6F9785EE" w14:textId="77777777" w:rsidR="002E45A1" w:rsidRDefault="002E45A1" w:rsidP="00615E7A">
      <w:pPr>
        <w:pStyle w:val="ListParagraph"/>
        <w:numPr>
          <w:ilvl w:val="0"/>
          <w:numId w:val="2"/>
        </w:numPr>
        <w:bidi/>
        <w:jc w:val="both"/>
      </w:pPr>
      <w:r>
        <w:rPr>
          <w:rFonts w:hint="cs"/>
          <w:rtl/>
        </w:rPr>
        <w:t>קורסי חובה על סיקור וראיונות הוגנים במסגרת לימודי עיתונאות ותקשורת</w:t>
      </w:r>
    </w:p>
    <w:p w14:paraId="22F9DEBE" w14:textId="77777777" w:rsidR="002E45A1" w:rsidRDefault="002E45A1" w:rsidP="00615E7A">
      <w:pPr>
        <w:pStyle w:val="ListParagraph"/>
        <w:numPr>
          <w:ilvl w:val="0"/>
          <w:numId w:val="2"/>
        </w:numPr>
        <w:bidi/>
        <w:jc w:val="both"/>
      </w:pPr>
      <w:r>
        <w:rPr>
          <w:rFonts w:hint="cs"/>
          <w:rtl/>
        </w:rPr>
        <w:t>מפגש עם נפגעות תקיפה מנית במסגרת ההכשרות, להיחשף לשפת הטראומה המינית ולפתח רגישות בהתאם.</w:t>
      </w:r>
    </w:p>
    <w:p w14:paraId="66E2EC6C" w14:textId="77777777" w:rsidR="002E45A1" w:rsidRDefault="002E45A1" w:rsidP="00615E7A">
      <w:pPr>
        <w:pStyle w:val="ListParagraph"/>
        <w:numPr>
          <w:ilvl w:val="0"/>
          <w:numId w:val="2"/>
        </w:numPr>
        <w:bidi/>
        <w:jc w:val="both"/>
      </w:pPr>
      <w:r>
        <w:rPr>
          <w:rFonts w:hint="cs"/>
          <w:rtl/>
        </w:rPr>
        <w:t>היעזרות בליווי מקצועי תקשורתי של דוברת איגוד מרכזי הסיוע ומומחיות נוספות.</w:t>
      </w:r>
    </w:p>
    <w:p w14:paraId="2A94DD6D" w14:textId="77777777" w:rsidR="002E45A1" w:rsidRDefault="002E45A1" w:rsidP="00615E7A">
      <w:pPr>
        <w:jc w:val="both"/>
        <w:rPr>
          <w:rtl/>
        </w:rPr>
      </w:pPr>
    </w:p>
    <w:p w14:paraId="2BFF718B" w14:textId="77777777" w:rsidR="002E45A1" w:rsidRDefault="002E45A1" w:rsidP="00615E7A">
      <w:pPr>
        <w:jc w:val="both"/>
        <w:rPr>
          <w:rtl/>
        </w:rPr>
      </w:pPr>
    </w:p>
    <w:p w14:paraId="31A5AC75" w14:textId="77777777" w:rsidR="002E45A1" w:rsidRPr="002E45A1" w:rsidRDefault="002E45A1" w:rsidP="00615E7A">
      <w:pPr>
        <w:jc w:val="both"/>
      </w:pPr>
      <w:bookmarkStart w:id="0" w:name="_GoBack"/>
      <w:bookmarkEnd w:id="0"/>
    </w:p>
    <w:sectPr w:rsidR="002E45A1" w:rsidRPr="002E45A1">
      <w:headerReference w:type="default" r:id="rId10"/>
      <w:footerReference w:type="default" r:id="rId11"/>
      <w:pgSz w:w="11900" w:h="16840"/>
      <w:pgMar w:top="1440" w:right="1800" w:bottom="1440" w:left="1800"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08F2B" w14:textId="77777777" w:rsidR="002A4FA6" w:rsidRDefault="002A4FA6">
      <w:r>
        <w:separator/>
      </w:r>
    </w:p>
  </w:endnote>
  <w:endnote w:type="continuationSeparator" w:id="0">
    <w:p w14:paraId="1A01037F" w14:textId="77777777" w:rsidR="002A4FA6" w:rsidRDefault="002A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FF74" w14:textId="77777777" w:rsidR="00922B79" w:rsidRDefault="00CA33E1">
    <w:pPr>
      <w:jc w:val="center"/>
      <w:outlineLvl w:val="0"/>
    </w:pPr>
    <w:r>
      <w:rPr>
        <w:rFonts w:ascii="David" w:eastAsia="David" w:hAnsi="David" w:cs="David"/>
        <w:b/>
        <w:bCs/>
        <w:color w:val="CC99FF"/>
        <w:sz w:val="20"/>
        <w:szCs w:val="20"/>
        <w:u w:color="CC99FF"/>
        <w:rtl/>
        <w:lang w:val="he-IL"/>
      </w:rPr>
      <w:t>*</w:t>
    </w:r>
    <w:r>
      <w:rPr>
        <w:rFonts w:ascii="David" w:eastAsia="David" w:hAnsi="David" w:cs="David" w:hint="cs"/>
        <w:b/>
        <w:bCs/>
        <w:sz w:val="20"/>
        <w:szCs w:val="20"/>
        <w:rtl/>
        <w:cs/>
        <w:lang w:val="he-IL"/>
      </w:rPr>
      <w:t xml:space="preserve"> איגוד מרכזי הסיוע לנפגעות ולנפגעי תקיפה מינית בישראל </w:t>
    </w:r>
    <w:r>
      <w:rPr>
        <w:rFonts w:ascii="David" w:eastAsia="David" w:hAnsi="David" w:cs="David"/>
        <w:b/>
        <w:bCs/>
        <w:sz w:val="20"/>
        <w:szCs w:val="20"/>
        <w:rtl/>
        <w:lang w:val="he-IL"/>
      </w:rPr>
      <w:t>(</w:t>
    </w:r>
    <w:proofErr w:type="spellStart"/>
    <w:r>
      <w:rPr>
        <w:rFonts w:ascii="David" w:eastAsia="David" w:hAnsi="David" w:cs="David" w:hint="cs"/>
        <w:b/>
        <w:bCs/>
        <w:sz w:val="20"/>
        <w:szCs w:val="20"/>
        <w:rtl/>
        <w:cs/>
        <w:lang w:val="he-IL"/>
      </w:rPr>
      <w:t>ע</w:t>
    </w:r>
    <w:r>
      <w:rPr>
        <w:rFonts w:ascii="David" w:eastAsia="David" w:hAnsi="David" w:cs="David"/>
        <w:b/>
        <w:bCs/>
        <w:sz w:val="20"/>
        <w:szCs w:val="20"/>
        <w:rtl/>
        <w:lang w:val="he-IL"/>
      </w:rPr>
      <w:t>"</w:t>
    </w:r>
    <w:r>
      <w:rPr>
        <w:rFonts w:ascii="David" w:eastAsia="David" w:hAnsi="David" w:cs="David" w:hint="cs"/>
        <w:b/>
        <w:bCs/>
        <w:sz w:val="20"/>
        <w:szCs w:val="20"/>
        <w:rtl/>
        <w:cs/>
        <w:lang w:val="he-IL"/>
      </w:rPr>
      <w:t>ר</w:t>
    </w:r>
    <w:proofErr w:type="spellEnd"/>
    <w:r>
      <w:rPr>
        <w:rFonts w:ascii="David" w:eastAsia="David" w:hAnsi="David" w:cs="David"/>
        <w:b/>
        <w:bCs/>
        <w:sz w:val="20"/>
        <w:szCs w:val="20"/>
        <w:rtl/>
        <w:lang w:val="he-IL"/>
      </w:rPr>
      <w:t>)</w:t>
    </w:r>
    <w:r>
      <w:rPr>
        <w:rFonts w:ascii="David" w:eastAsia="David" w:hAnsi="David" w:cs="David"/>
        <w:b/>
        <w:bCs/>
        <w:color w:val="CC99FF"/>
        <w:sz w:val="20"/>
        <w:szCs w:val="20"/>
        <w:u w:color="CC99FF"/>
        <w:rtl/>
        <w:lang w:val="he-IL"/>
      </w:rPr>
      <w:t xml:space="preserve"> *</w:t>
    </w:r>
    <w:r>
      <w:rPr>
        <w:rFonts w:ascii="David" w:eastAsia="David" w:hAnsi="David" w:cs="David" w:hint="cs"/>
        <w:sz w:val="20"/>
        <w:szCs w:val="20"/>
        <w:rtl/>
        <w:cs/>
        <w:lang w:val="he-IL"/>
      </w:rPr>
      <w:t xml:space="preserve"> טלפון</w:t>
    </w:r>
    <w:r>
      <w:rPr>
        <w:rFonts w:ascii="David" w:eastAsia="David" w:hAnsi="David" w:cs="David"/>
        <w:sz w:val="20"/>
        <w:szCs w:val="20"/>
        <w:rtl/>
        <w:lang w:val="he-IL"/>
      </w:rPr>
      <w:t xml:space="preserve">: 073-7013-222 </w:t>
    </w:r>
    <w:r>
      <w:rPr>
        <w:rFonts w:ascii="David" w:eastAsia="David" w:hAnsi="David" w:cs="David"/>
        <w:b/>
        <w:bCs/>
        <w:color w:val="CC99FF"/>
        <w:sz w:val="20"/>
        <w:szCs w:val="20"/>
        <w:u w:color="CC99FF"/>
        <w:rtl/>
        <w:lang w:val="he-IL"/>
      </w:rPr>
      <w:t>*</w:t>
    </w:r>
    <w:r>
      <w:rPr>
        <w:rFonts w:ascii="David" w:eastAsia="David" w:hAnsi="David" w:cs="David" w:hint="cs"/>
        <w:sz w:val="20"/>
        <w:szCs w:val="20"/>
        <w:rtl/>
        <w:cs/>
        <w:lang w:val="he-IL"/>
      </w:rPr>
      <w:t xml:space="preserve"> פקס</w:t>
    </w:r>
    <w:r>
      <w:rPr>
        <w:rFonts w:ascii="David" w:eastAsia="David" w:hAnsi="David" w:cs="David"/>
        <w:sz w:val="20"/>
        <w:szCs w:val="20"/>
        <w:rtl/>
        <w:lang w:val="he-IL"/>
      </w:rPr>
      <w:t xml:space="preserve">: 02-6787919 </w:t>
    </w:r>
    <w:r>
      <w:rPr>
        <w:rFonts w:ascii="David" w:eastAsia="David" w:hAnsi="David" w:cs="David"/>
        <w:b/>
        <w:bCs/>
        <w:color w:val="CC99FF"/>
        <w:sz w:val="20"/>
        <w:szCs w:val="20"/>
        <w:u w:color="CC99FF"/>
        <w:rtl/>
        <w:lang w:val="he-IL"/>
      </w:rPr>
      <w:t xml:space="preserve">* </w:t>
    </w:r>
    <w:r>
      <w:rPr>
        <w:rFonts w:ascii="David" w:eastAsia="David" w:hAnsi="David" w:cs="David" w:hint="cs"/>
        <w:sz w:val="20"/>
        <w:szCs w:val="20"/>
        <w:rtl/>
        <w:cs/>
        <w:lang w:val="he-IL"/>
      </w:rPr>
      <w:t>דוא</w:t>
    </w:r>
    <w:r>
      <w:rPr>
        <w:rFonts w:ascii="David" w:eastAsia="David" w:hAnsi="David" w:cs="David"/>
        <w:sz w:val="20"/>
        <w:szCs w:val="20"/>
        <w:rtl/>
        <w:lang w:val="he-IL"/>
      </w:rPr>
      <w:t>"</w:t>
    </w:r>
    <w:r>
      <w:rPr>
        <w:rFonts w:ascii="David" w:eastAsia="David" w:hAnsi="David" w:cs="David" w:hint="cs"/>
        <w:sz w:val="20"/>
        <w:szCs w:val="20"/>
        <w:rtl/>
        <w:cs/>
        <w:lang w:val="he-IL"/>
      </w:rPr>
      <w:t>ל</w:t>
    </w:r>
    <w:r>
      <w:rPr>
        <w:rFonts w:ascii="David" w:eastAsia="David" w:hAnsi="David" w:cs="David"/>
        <w:sz w:val="20"/>
        <w:szCs w:val="20"/>
        <w:rtl/>
        <w:lang w:val="he-IL"/>
      </w:rPr>
      <w:t xml:space="preserve">: </w:t>
    </w:r>
    <w:hyperlink r:id="rId1" w:history="1">
      <w:r>
        <w:rPr>
          <w:rStyle w:val="Hyperlink0"/>
        </w:rPr>
        <w:t>office@igud1202.org.il</w:t>
      </w:r>
    </w:hyperlink>
    <w:r>
      <w:rPr>
        <w:rFonts w:ascii="David" w:eastAsia="David" w:hAnsi="David" w:cs="David"/>
        <w:sz w:val="20"/>
        <w:szCs w:val="20"/>
        <w:rtl/>
        <w:lang w:val="he-IL"/>
      </w:rPr>
      <w:t xml:space="preserve">  </w:t>
    </w:r>
    <w:r>
      <w:rPr>
        <w:rFonts w:ascii="David" w:eastAsia="David" w:hAnsi="David" w:cs="David"/>
        <w:b/>
        <w:bCs/>
        <w:color w:val="CC99FF"/>
        <w:sz w:val="20"/>
        <w:szCs w:val="20"/>
        <w:u w:color="CC99FF"/>
        <w:rtl/>
        <w:lang w:val="he-IL"/>
      </w:rPr>
      <w:t>*</w:t>
    </w:r>
    <w:r>
      <w:rPr>
        <w:rFonts w:ascii="David" w:eastAsia="David" w:hAnsi="David" w:cs="David" w:hint="cs"/>
        <w:sz w:val="20"/>
        <w:szCs w:val="20"/>
        <w:rtl/>
        <w:cs/>
        <w:lang w:val="he-IL"/>
      </w:rPr>
      <w:t xml:space="preserve"> אתר אינטרנט</w:t>
    </w:r>
    <w:r>
      <w:rPr>
        <w:rFonts w:ascii="David" w:eastAsia="David" w:hAnsi="David" w:cs="David"/>
        <w:sz w:val="20"/>
        <w:szCs w:val="20"/>
        <w:rtl/>
        <w:lang w:val="he-IL"/>
      </w:rPr>
      <w:t xml:space="preserve">: </w:t>
    </w:r>
    <w:hyperlink r:id="rId2" w:history="1">
      <w:r>
        <w:rPr>
          <w:rStyle w:val="Hyperlink0"/>
        </w:rPr>
        <w:t>www.1202.org</w:t>
      </w:r>
    </w:hyperlink>
    <w:r>
      <w:rPr>
        <w:rFonts w:ascii="David" w:eastAsia="David" w:hAnsi="David" w:cs="David"/>
        <w:sz w:val="20"/>
        <w:szCs w:val="20"/>
        <w:rtl/>
        <w:lang w:val="he-IL"/>
      </w:rPr>
      <w:t xml:space="preserve">  </w:t>
    </w:r>
    <w:r>
      <w:rPr>
        <w:rFonts w:ascii="David" w:eastAsia="David" w:hAnsi="David" w:cs="David"/>
        <w:b/>
        <w:bCs/>
        <w:color w:val="CC99FF"/>
        <w:sz w:val="20"/>
        <w:szCs w:val="20"/>
        <w:u w:color="CC99FF"/>
        <w:rtl/>
        <w:lang w:val="he-IL"/>
      </w:rPr>
      <w:t>*</w:t>
    </w:r>
    <w:r>
      <w:rPr>
        <w:rFonts w:ascii="David" w:eastAsia="David" w:hAnsi="David" w:cs="David" w:hint="cs"/>
        <w:sz w:val="20"/>
        <w:szCs w:val="20"/>
        <w:rtl/>
        <w:cs/>
        <w:lang w:val="he-IL"/>
      </w:rPr>
      <w:t xml:space="preserve"> ת</w:t>
    </w:r>
    <w:r>
      <w:rPr>
        <w:rFonts w:ascii="David" w:eastAsia="David" w:hAnsi="David" w:cs="David"/>
        <w:sz w:val="20"/>
        <w:szCs w:val="20"/>
        <w:rtl/>
        <w:lang w:val="he-IL"/>
      </w:rPr>
      <w:t>.</w:t>
    </w:r>
    <w:r>
      <w:rPr>
        <w:rFonts w:ascii="David" w:eastAsia="David" w:hAnsi="David" w:cs="David" w:hint="cs"/>
        <w:sz w:val="20"/>
        <w:szCs w:val="20"/>
        <w:rtl/>
        <w:cs/>
        <w:lang w:val="he-IL"/>
      </w:rPr>
      <w:t>ד</w:t>
    </w:r>
    <w:r>
      <w:rPr>
        <w:rFonts w:ascii="David" w:eastAsia="David" w:hAnsi="David" w:cs="David"/>
        <w:sz w:val="20"/>
        <w:szCs w:val="20"/>
        <w:rtl/>
        <w:lang w:val="he-IL"/>
      </w:rPr>
      <w:t xml:space="preserve">. 53262, </w:t>
    </w:r>
    <w:r>
      <w:rPr>
        <w:rFonts w:ascii="David" w:eastAsia="David" w:hAnsi="David" w:cs="David" w:hint="cs"/>
        <w:sz w:val="20"/>
        <w:szCs w:val="20"/>
        <w:rtl/>
        <w:cs/>
        <w:lang w:val="he-IL"/>
      </w:rPr>
      <w:t xml:space="preserve">ירושלים </w:t>
    </w:r>
    <w:r>
      <w:rPr>
        <w:rFonts w:ascii="David" w:eastAsia="David" w:hAnsi="David" w:cs="David"/>
        <w:sz w:val="20"/>
        <w:szCs w:val="20"/>
        <w:rtl/>
        <w:lang w:val="he-IL"/>
      </w:rPr>
      <w:t xml:space="preserve">9153102 </w:t>
    </w:r>
    <w:r>
      <w:rPr>
        <w:rFonts w:ascii="David" w:eastAsia="David" w:hAnsi="David" w:cs="David"/>
        <w:b/>
        <w:bCs/>
        <w:color w:val="CC99FF"/>
        <w:sz w:val="20"/>
        <w:szCs w:val="20"/>
        <w:u w:color="CC99FF"/>
        <w:rtl/>
        <w:lang w:val="he-I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D4347" w14:textId="77777777" w:rsidR="002A4FA6" w:rsidRDefault="002A4FA6">
      <w:r>
        <w:separator/>
      </w:r>
    </w:p>
  </w:footnote>
  <w:footnote w:type="continuationSeparator" w:id="0">
    <w:p w14:paraId="0DE1A034" w14:textId="77777777" w:rsidR="002A4FA6" w:rsidRDefault="002A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0594" w14:textId="77777777" w:rsidR="00922B79" w:rsidRDefault="00CA33E1">
    <w:pPr>
      <w:pStyle w:val="Header"/>
      <w:tabs>
        <w:tab w:val="clear" w:pos="8306"/>
        <w:tab w:val="right" w:pos="8280"/>
      </w:tabs>
    </w:pPr>
    <w:r>
      <w:rPr>
        <w:noProof/>
      </w:rPr>
      <w:drawing>
        <wp:anchor distT="152400" distB="152400" distL="152400" distR="152400" simplePos="0" relativeHeight="251659264" behindDoc="1" locked="0" layoutInCell="1" allowOverlap="1" wp14:anchorId="5F10726F" wp14:editId="1502FA2C">
          <wp:simplePos x="0" y="0"/>
          <wp:positionH relativeFrom="page">
            <wp:posOffset>3086100</wp:posOffset>
          </wp:positionH>
          <wp:positionV relativeFrom="page">
            <wp:posOffset>228600</wp:posOffset>
          </wp:positionV>
          <wp:extent cx="1296670" cy="7702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jpg לוגו איגוד.jpg"/>
                  <pic:cNvPicPr/>
                </pic:nvPicPr>
                <pic:blipFill>
                  <a:blip r:embed="rId1">
                    <a:extLst/>
                  </a:blip>
                  <a:stretch>
                    <a:fillRect/>
                  </a:stretch>
                </pic:blipFill>
                <pic:spPr>
                  <a:xfrm>
                    <a:off x="0" y="0"/>
                    <a:ext cx="1296670" cy="77025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3501F"/>
    <w:multiLevelType w:val="hybridMultilevel"/>
    <w:tmpl w:val="7B18C5D6"/>
    <w:lvl w:ilvl="0" w:tplc="289A2930">
      <w:start w:val="4"/>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33C60"/>
    <w:multiLevelType w:val="hybridMultilevel"/>
    <w:tmpl w:val="DDE65C64"/>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92"/>
    <w:rsid w:val="0022314C"/>
    <w:rsid w:val="002A4FA6"/>
    <w:rsid w:val="002E45A1"/>
    <w:rsid w:val="00302A91"/>
    <w:rsid w:val="00354860"/>
    <w:rsid w:val="004D65D0"/>
    <w:rsid w:val="00577149"/>
    <w:rsid w:val="00590149"/>
    <w:rsid w:val="005B2EDA"/>
    <w:rsid w:val="00615E7A"/>
    <w:rsid w:val="007408B0"/>
    <w:rsid w:val="007A2C3A"/>
    <w:rsid w:val="007B1867"/>
    <w:rsid w:val="00867C7B"/>
    <w:rsid w:val="008E701D"/>
    <w:rsid w:val="00A86292"/>
    <w:rsid w:val="00CA33E1"/>
    <w:rsid w:val="00D67958"/>
    <w:rsid w:val="00DE3D36"/>
    <w:rsid w:val="00DE4F28"/>
    <w:rsid w:val="00E853C6"/>
    <w:rsid w:val="00E96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B6A9"/>
  <w15:chartTrackingRefBased/>
  <w15:docId w15:val="{AB77F1B2-2FE0-42DD-85A0-E759A471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6292"/>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86292"/>
    <w:pPr>
      <w:pBdr>
        <w:top w:val="nil"/>
        <w:left w:val="nil"/>
        <w:bottom w:val="nil"/>
        <w:right w:val="nil"/>
        <w:between w:val="nil"/>
        <w:bar w:val="nil"/>
      </w:pBdr>
      <w:tabs>
        <w:tab w:val="center" w:pos="4153"/>
        <w:tab w:val="right" w:pos="8306"/>
      </w:tabs>
      <w:bidi/>
      <w:spacing w:after="0" w:line="240" w:lineRule="auto"/>
    </w:pPr>
    <w:rPr>
      <w:rFonts w:ascii="Times New Roman" w:eastAsia="Arial Unicode MS" w:hAnsi="Arial Unicode MS" w:cs="Arial Unicode MS"/>
      <w:color w:val="000000"/>
      <w:sz w:val="24"/>
      <w:szCs w:val="24"/>
      <w:u w:color="000000"/>
      <w:bdr w:val="nil"/>
    </w:rPr>
  </w:style>
  <w:style w:type="character" w:customStyle="1" w:styleId="HeaderChar">
    <w:name w:val="Header Char"/>
    <w:basedOn w:val="DefaultParagraphFont"/>
    <w:link w:val="Header"/>
    <w:rsid w:val="00A86292"/>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sid w:val="00A86292"/>
    <w:rPr>
      <w:color w:val="0000FF"/>
      <w:sz w:val="20"/>
      <w:szCs w:val="20"/>
      <w:u w:val="single" w:color="0000FF"/>
    </w:rPr>
  </w:style>
  <w:style w:type="character" w:customStyle="1" w:styleId="Hyperlink1">
    <w:name w:val="Hyperlink.1"/>
    <w:basedOn w:val="DefaultParagraphFont"/>
    <w:rsid w:val="00A86292"/>
    <w:rPr>
      <w:color w:val="0000FF"/>
      <w:sz w:val="22"/>
      <w:szCs w:val="22"/>
      <w:u w:val="single" w:color="0000FF"/>
    </w:rPr>
  </w:style>
  <w:style w:type="paragraph" w:styleId="ListParagraph">
    <w:name w:val="List Paragraph"/>
    <w:basedOn w:val="Normal"/>
    <w:uiPriority w:val="34"/>
    <w:qFormat/>
    <w:rsid w:val="002E45A1"/>
    <w:pPr>
      <w:pBdr>
        <w:top w:val="none" w:sz="0" w:space="0" w:color="auto"/>
        <w:left w:val="none" w:sz="0" w:space="0" w:color="auto"/>
        <w:bottom w:val="none" w:sz="0" w:space="0" w:color="auto"/>
        <w:right w:val="none" w:sz="0" w:space="0" w:color="auto"/>
        <w:between w:val="none" w:sz="0" w:space="0" w:color="auto"/>
        <w:bar w:val="none" w:sz="0" w:color="auto"/>
      </w:pBdr>
      <w:bidi w:val="0"/>
      <w:spacing w:after="160" w:line="259" w:lineRule="auto"/>
      <w:ind w:left="720"/>
      <w:contextualSpacing/>
    </w:pPr>
    <w:rPr>
      <w:rFonts w:asciiTheme="minorHAnsi" w:eastAsiaTheme="minorHAnsi" w:hAnsiTheme="minorHAnsi" w:cstheme="minorBidi"/>
      <w:color w:val="au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1202.org" TargetMode="External"/><Relationship Id="rId1" Type="http://schemas.openxmlformats.org/officeDocument/2006/relationships/hyperlink" Target="mailto:office@igud1202.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8D019-B2C7-437D-8001-6DF98106E03D}">
  <ds:schemaRefs>
    <ds:schemaRef ds:uri="http://schemas.microsoft.com/sharepoint/v3/contenttype/forms"/>
  </ds:schemaRefs>
</ds:datastoreItem>
</file>

<file path=customXml/itemProps2.xml><?xml version="1.0" encoding="utf-8"?>
<ds:datastoreItem xmlns:ds="http://schemas.openxmlformats.org/officeDocument/2006/customXml" ds:itemID="{CDF91BB4-EE04-43C8-B0AA-F99C9CB9A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1E1717-1089-43A4-81A6-F8AAAFB79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619</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Igud</dc:creator>
  <cp:keywords/>
  <dc:description/>
  <cp:lastModifiedBy>Noga Berger</cp:lastModifiedBy>
  <cp:revision>3</cp:revision>
  <dcterms:created xsi:type="dcterms:W3CDTF">2018-05-07T12:13:00Z</dcterms:created>
  <dcterms:modified xsi:type="dcterms:W3CDTF">2018-05-14T16:01:00Z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SanhedrinDocumentType">
    <vt:r8>88</vt:r8>
  </property>
  <property fmtid="{D5CDD505-2E9C-101B-9397-08002B2CF9AE}" pid="4" name="SanhedrinItemID">
    <vt:r8>2068548</vt:r8>
  </property>
</Properties>
</file>